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52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7"/>
        <w:gridCol w:w="2124"/>
        <w:gridCol w:w="2138"/>
        <w:gridCol w:w="2114"/>
        <w:tblGridChange w:id="0">
          <w:tblGrid>
            <w:gridCol w:w="2147"/>
            <w:gridCol w:w="2124"/>
            <w:gridCol w:w="2138"/>
            <w:gridCol w:w="2114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-1777999</wp:posOffset>
                      </wp:positionV>
                      <wp:extent cx="1346200" cy="13081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71948" y="3129442"/>
                                <a:ext cx="1348104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342900</wp:posOffset>
                      </wp:positionH>
                      <wp:positionV relativeFrom="paragraph">
                        <wp:posOffset>-1777999</wp:posOffset>
                      </wp:positionV>
                      <wp:extent cx="1346200" cy="13081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6200" cy="130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Back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£10.00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Red Woolen hat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£ 5.00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(Red) Sweatshirt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Small (34”)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Medium (34”- 36”)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Large (36”- 38”)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 Large (40”- 42”)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XX Large (44”)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£15.00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(Red) Sweat - Cardi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Small (34”)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£12.00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Medium (34”- 36”)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 Large (40”- 42”)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£17.00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XX Large (44”)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£17.00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(white) Polo Shirt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Small (34”)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Medium (34”- 36”)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Large (36”- 38”)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 Large (40” – 42”)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XX Large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(44”)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(Red) Polo Shirt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Small (34”)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Medium (34” – 36”)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Large (36” - 38”)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 Large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(40”- 42”)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XX large (44”)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£13.00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vertAlign w:val="baseline"/>
                <w:rtl w:val="0"/>
              </w:rPr>
              <w:t xml:space="preserve">(Red) Fleece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Small (34”)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£14.00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Medium (34”- 36”)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Large (36”- 38”)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 Large (40”- 42”)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XX Large (44”)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0"/>
                <w:szCs w:val="20"/>
                <w:vertAlign w:val="baseline"/>
                <w:rtl w:val="0"/>
              </w:rPr>
              <w:t xml:space="preserve">£18.00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Please complete order form and return it to the school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with your payment enclosed.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This can be cash or a cheque. Please make cheques payable to St Ann’s School,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Student’s Name: ……………………………….. Class: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Uniform will be sent home 3-4 days after order received in office, unless stock needs to be ordered – in which case you will be informed.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9" w:w="11907"/>
      <w:pgMar w:bottom="360" w:top="426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Questrial">
    <w:embedRegular r:id="rId1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  <w:rtl w:val="0"/>
      </w:rPr>
      <w:t xml:space="preserve">SHARED SYSTEM:DOC.ADMIN.UNIFORM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8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1"/>
        <w:sz w:val="40"/>
        <w:szCs w:val="40"/>
        <w:vertAlign w:val="baseline"/>
        <w:rtl w:val="0"/>
      </w:rPr>
      <w:t xml:space="preserve">St Ann’s School Uniform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1"/>
        <w:sz w:val="40"/>
        <w:szCs w:val="40"/>
        <w:vertAlign w:val="baseline"/>
        <w:rtl w:val="0"/>
      </w:rPr>
      <w:t xml:space="preserve">Student Order Form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.xml"/><Relationship Id="rId7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